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68436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684360" w:rsidRPr="0068436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Integracja i mobilizacja danych o różnorodności biotycznej Eukaryota w zasobach polskich instytucji naukowych (IMBIO)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684360" w:rsidRPr="00684360">
              <w:rPr>
                <w:rFonts w:asciiTheme="minorHAnsi" w:hAnsiTheme="minorHAnsi" w:cstheme="minorHAnsi"/>
                <w:i/>
                <w:sz w:val="22"/>
                <w:szCs w:val="22"/>
              </w:rPr>
              <w:t>Uniwersytet Warszawski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684360" w:rsidRPr="00684360">
              <w:rPr>
                <w:rFonts w:asciiTheme="minorHAnsi" w:hAnsiTheme="minorHAnsi" w:cstheme="minorHAnsi"/>
                <w:i/>
                <w:sz w:val="22"/>
                <w:szCs w:val="22"/>
              </w:rPr>
              <w:t>Uniwersytet Warszawski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D77CC" w:rsidRPr="00BD77CC" w:rsidTr="007B119A">
        <w:tc>
          <w:tcPr>
            <w:tcW w:w="562" w:type="dxa"/>
            <w:shd w:val="clear" w:color="auto" w:fill="auto"/>
          </w:tcPr>
          <w:p w:rsidR="0006339F" w:rsidRPr="00BD77CC" w:rsidRDefault="00BD77CC" w:rsidP="0006339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339F" w:rsidRPr="00BD77CC" w:rsidRDefault="0006339F" w:rsidP="0006339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6339F" w:rsidRPr="00BD77CC" w:rsidRDefault="0006339F" w:rsidP="000633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2. Postęp finansowy.</w:t>
            </w:r>
          </w:p>
        </w:tc>
        <w:tc>
          <w:tcPr>
            <w:tcW w:w="7371" w:type="dxa"/>
            <w:shd w:val="clear" w:color="auto" w:fill="auto"/>
          </w:tcPr>
          <w:p w:rsidR="0006339F" w:rsidRPr="00BD77CC" w:rsidRDefault="0006339F" w:rsidP="000633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 xml:space="preserve">W kolumnie „Wartość środków wydatkowanych” w poz. 2 Zgodnie z wyjaśnieniami zawartymi we wzorze formularza „.. należy podać % wartość wydatków kwalifikowalnych wykazanych w zatwierdzonych wnioskach o płatność w stosunku do wartości umowy/porozumienia o dofinansowanie w części środków kwalifikowalnych”. W projekcie jeszcze nie został zatwierdzony wniosek rozliczający zaliczkę. W związku z powyższym w danym punkcie należy wpisać 0%. </w:t>
            </w:r>
          </w:p>
        </w:tc>
        <w:tc>
          <w:tcPr>
            <w:tcW w:w="2693" w:type="dxa"/>
            <w:shd w:val="clear" w:color="auto" w:fill="auto"/>
          </w:tcPr>
          <w:p w:rsidR="0006339F" w:rsidRPr="00BD77CC" w:rsidRDefault="0006339F" w:rsidP="000633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06339F" w:rsidRPr="00BD77CC" w:rsidRDefault="0006339F" w:rsidP="000633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7CC" w:rsidRPr="00BD77CC" w:rsidTr="007B119A">
        <w:tc>
          <w:tcPr>
            <w:tcW w:w="562" w:type="dxa"/>
            <w:shd w:val="clear" w:color="auto" w:fill="auto"/>
          </w:tcPr>
          <w:p w:rsidR="00684360" w:rsidRPr="00BD77CC" w:rsidRDefault="00BD77CC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84360" w:rsidRPr="00BD77CC" w:rsidRDefault="00ED79BA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84360" w:rsidRPr="00BD77CC" w:rsidRDefault="00684360" w:rsidP="00684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684360" w:rsidRPr="00BD77CC" w:rsidRDefault="00684360" w:rsidP="0068436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371" w:type="dxa"/>
            <w:shd w:val="clear" w:color="auto" w:fill="auto"/>
          </w:tcPr>
          <w:p w:rsidR="00F062C3" w:rsidRDefault="00684360" w:rsidP="006843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 xml:space="preserve">W kamieniach milowych dotyczących digitalizacji w kolumnie „Status realizacji kamienia milowego” wykazano „planowany”. </w:t>
            </w:r>
          </w:p>
          <w:p w:rsidR="00684360" w:rsidRPr="00BD77CC" w:rsidRDefault="00684360" w:rsidP="006843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Jednocześnie w części „Wskaźniki efektywności projektu (KPI)” w kolumnie „wartość osiągnięta od początku realizacji projektu (narastająco)” wskaźnik „Liczba zdigitalizowanych dokumentów zawierających informacje sektora publicznego” osiągnął wartość większą od 0.</w:t>
            </w:r>
          </w:p>
        </w:tc>
        <w:tc>
          <w:tcPr>
            <w:tcW w:w="2693" w:type="dxa"/>
            <w:shd w:val="clear" w:color="auto" w:fill="auto"/>
          </w:tcPr>
          <w:p w:rsidR="00684360" w:rsidRPr="00BD77CC" w:rsidRDefault="00684360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r w:rsidR="00845686" w:rsidRPr="00BD77CC">
              <w:rPr>
                <w:rFonts w:asciiTheme="minorHAnsi" w:hAnsiTheme="minorHAnsi" w:cstheme="minorHAnsi"/>
                <w:sz w:val="22"/>
                <w:szCs w:val="22"/>
              </w:rPr>
              <w:t xml:space="preserve"> w części dot. statusu osiągnięcia kamieni milowych</w:t>
            </w: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:rsidR="00684360" w:rsidRPr="00BD77CC" w:rsidRDefault="00684360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7CC" w:rsidRPr="00BD77CC" w:rsidTr="007B119A">
        <w:tc>
          <w:tcPr>
            <w:tcW w:w="562" w:type="dxa"/>
            <w:shd w:val="clear" w:color="auto" w:fill="auto"/>
          </w:tcPr>
          <w:p w:rsidR="001E2057" w:rsidRPr="00BD77CC" w:rsidRDefault="00BD77CC" w:rsidP="001E205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E2057" w:rsidRPr="00BD77CC" w:rsidRDefault="00ED79BA" w:rsidP="001E205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E2057" w:rsidRPr="00BD77CC" w:rsidRDefault="001E2057" w:rsidP="00BD77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7371" w:type="dxa"/>
            <w:shd w:val="clear" w:color="auto" w:fill="auto"/>
          </w:tcPr>
          <w:p w:rsidR="001E2057" w:rsidRPr="00BD77CC" w:rsidRDefault="001E2057" w:rsidP="001E2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W stosunku do poprzedniego kwartału zmieniona została docelowa wartość wskaźnika „Liczba pobrań/odtworzeń dokumentów zawierających i</w:t>
            </w:r>
            <w:r w:rsidR="00ED79BA">
              <w:rPr>
                <w:rFonts w:asciiTheme="minorHAnsi" w:hAnsiTheme="minorHAnsi" w:cstheme="minorHAnsi"/>
                <w:sz w:val="22"/>
                <w:szCs w:val="22"/>
              </w:rPr>
              <w:t>nformacje sektora publicznego”</w:t>
            </w: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1E2057" w:rsidRPr="00BD77CC" w:rsidRDefault="001E2057" w:rsidP="001E2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1E2057" w:rsidRPr="00BD77CC" w:rsidRDefault="001E2057" w:rsidP="001E20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7CC" w:rsidRPr="00BD77CC" w:rsidTr="007B119A">
        <w:tc>
          <w:tcPr>
            <w:tcW w:w="562" w:type="dxa"/>
            <w:shd w:val="clear" w:color="auto" w:fill="auto"/>
          </w:tcPr>
          <w:p w:rsidR="00BD77CC" w:rsidRPr="00BD77CC" w:rsidRDefault="00BD77CC" w:rsidP="001E205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D77CC" w:rsidRPr="00BD77CC" w:rsidRDefault="00ED79BA" w:rsidP="001E205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D77CC" w:rsidRPr="00BD77CC" w:rsidRDefault="00BD77CC" w:rsidP="00BD77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5. Udostępnione informacje sektora publicznego i zdigitalizowane zasoby</w:t>
            </w:r>
          </w:p>
        </w:tc>
        <w:tc>
          <w:tcPr>
            <w:tcW w:w="7371" w:type="dxa"/>
            <w:shd w:val="clear" w:color="auto" w:fill="auto"/>
          </w:tcPr>
          <w:p w:rsidR="00BD77CC" w:rsidRPr="00BD77CC" w:rsidRDefault="00BD77CC" w:rsidP="00ED79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Zgodnie z instrukcją „ Należy wpisać nazwę, planowanego udostępnienia/digitalizacji lub udostępnionego/zdigitalizowanego zasobu”</w:t>
            </w:r>
            <w:r w:rsidR="00ED79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BD77CC" w:rsidRPr="00BD77CC" w:rsidRDefault="00ED79BA" w:rsidP="001E2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BD77CC" w:rsidRPr="00BD77CC" w:rsidRDefault="00BD77CC" w:rsidP="001E20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820" w:rsidRPr="00BD77CC" w:rsidTr="007B119A">
        <w:tc>
          <w:tcPr>
            <w:tcW w:w="562" w:type="dxa"/>
            <w:shd w:val="clear" w:color="auto" w:fill="auto"/>
          </w:tcPr>
          <w:p w:rsidR="00A82820" w:rsidRPr="00BD77CC" w:rsidRDefault="00A82820" w:rsidP="001E205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82820" w:rsidRDefault="00A82820" w:rsidP="001E205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82820" w:rsidRPr="00BD77CC" w:rsidRDefault="00A82820" w:rsidP="00BD77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A8282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371" w:type="dxa"/>
            <w:shd w:val="clear" w:color="auto" w:fill="auto"/>
          </w:tcPr>
          <w:p w:rsidR="00A82820" w:rsidRDefault="00A82820" w:rsidP="00ED79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założeniami projektu zaakceptowanymi przez KRMC produktami są:</w:t>
            </w:r>
          </w:p>
          <w:p w:rsidR="00A82820" w:rsidRPr="00A82820" w:rsidRDefault="00A82820" w:rsidP="00A8282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Aplikacja back-</w:t>
            </w:r>
            <w:r w:rsidRPr="00A82820">
              <w:rPr>
                <w:rFonts w:asciiTheme="minorHAnsi" w:hAnsiTheme="minorHAnsi" w:cstheme="minorHAnsi"/>
                <w:sz w:val="22"/>
                <w:szCs w:val="22"/>
              </w:rPr>
              <w:t>end – odpowiedzialna za przechowywanie i zarządzanie danymi</w:t>
            </w:r>
          </w:p>
          <w:p w:rsidR="00A82820" w:rsidRPr="00A82820" w:rsidRDefault="00A82820" w:rsidP="00A8282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28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Interfejs API – służący do komunikowania się pomiędzy aplikacją backend a aplikacjami frontend</w:t>
            </w:r>
          </w:p>
          <w:p w:rsidR="00A82820" w:rsidRPr="00A82820" w:rsidRDefault="00A82820" w:rsidP="00A8282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2820">
              <w:rPr>
                <w:rFonts w:asciiTheme="minorHAnsi" w:hAnsiTheme="minorHAnsi" w:cstheme="minorHAnsi"/>
                <w:sz w:val="22"/>
                <w:szCs w:val="22"/>
              </w:rPr>
              <w:t>Strona internetowa będąca elementem warstwy frontend odpowiedzialna za wprowadzanie i wyświetlanie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(Portal internetowy)</w:t>
            </w:r>
          </w:p>
          <w:p w:rsidR="00A82820" w:rsidRDefault="00A82820" w:rsidP="00A8282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2820">
              <w:rPr>
                <w:rFonts w:asciiTheme="minorHAnsi" w:hAnsiTheme="minorHAnsi" w:cstheme="minorHAnsi"/>
                <w:sz w:val="22"/>
                <w:szCs w:val="22"/>
              </w:rPr>
              <w:t>Aplikacja mobilna będąca elementem warstwy frontend odpowiedzialna za wprowadzanie i wyświetlanie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A82820" w:rsidRPr="00A82820" w:rsidRDefault="00A82820" w:rsidP="00A828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A82820">
              <w:rPr>
                <w:rFonts w:asciiTheme="minorHAnsi" w:hAnsiTheme="minorHAnsi" w:cstheme="minorHAnsi"/>
                <w:sz w:val="22"/>
                <w:szCs w:val="22"/>
              </w:rPr>
              <w:t>tóre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(z wyjątkiem API) </w:t>
            </w:r>
            <w:r w:rsidRPr="00A82820">
              <w:rPr>
                <w:rFonts w:asciiTheme="minorHAnsi" w:hAnsiTheme="minorHAnsi" w:cstheme="minorHAnsi"/>
                <w:sz w:val="22"/>
                <w:szCs w:val="22"/>
              </w:rPr>
              <w:t xml:space="preserve">nie są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wymienione w produktach projektu. </w:t>
            </w:r>
          </w:p>
        </w:tc>
        <w:tc>
          <w:tcPr>
            <w:tcW w:w="2693" w:type="dxa"/>
            <w:shd w:val="clear" w:color="auto" w:fill="auto"/>
          </w:tcPr>
          <w:p w:rsidR="00A82820" w:rsidRPr="00BD77CC" w:rsidRDefault="00A82820" w:rsidP="00A828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uzupełnienie </w:t>
            </w: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raportu.</w:t>
            </w:r>
          </w:p>
        </w:tc>
        <w:tc>
          <w:tcPr>
            <w:tcW w:w="1785" w:type="dxa"/>
          </w:tcPr>
          <w:p w:rsidR="00A82820" w:rsidRPr="00BD77CC" w:rsidRDefault="00A82820" w:rsidP="001E20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90F" w:rsidRDefault="00A8590F" w:rsidP="000805CA">
      <w:r>
        <w:separator/>
      </w:r>
    </w:p>
  </w:endnote>
  <w:endnote w:type="continuationSeparator" w:id="0">
    <w:p w:rsidR="00A8590F" w:rsidRDefault="00A8590F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8135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8135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90F" w:rsidRDefault="00A8590F" w:rsidP="000805CA">
      <w:r>
        <w:separator/>
      </w:r>
    </w:p>
  </w:footnote>
  <w:footnote w:type="continuationSeparator" w:id="0">
    <w:p w:rsidR="00A8590F" w:rsidRDefault="00A8590F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C833C0"/>
    <w:multiLevelType w:val="hybridMultilevel"/>
    <w:tmpl w:val="1DAA8CB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D17729"/>
    <w:multiLevelType w:val="hybridMultilevel"/>
    <w:tmpl w:val="96CC9620"/>
    <w:lvl w:ilvl="0" w:tplc="34749D0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10"/>
  </w:num>
  <w:num w:numId="7">
    <w:abstractNumId w:val="9"/>
  </w:num>
  <w:num w:numId="8">
    <w:abstractNumId w:val="4"/>
  </w:num>
  <w:num w:numId="9">
    <w:abstractNumId w:val="14"/>
  </w:num>
  <w:num w:numId="10">
    <w:abstractNumId w:val="0"/>
  </w:num>
  <w:num w:numId="11">
    <w:abstractNumId w:val="13"/>
  </w:num>
  <w:num w:numId="12">
    <w:abstractNumId w:val="12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339F"/>
    <w:rsid w:val="00075A9E"/>
    <w:rsid w:val="000805CA"/>
    <w:rsid w:val="000A1250"/>
    <w:rsid w:val="000D7457"/>
    <w:rsid w:val="00140BE8"/>
    <w:rsid w:val="0019648E"/>
    <w:rsid w:val="001E2057"/>
    <w:rsid w:val="002164C0"/>
    <w:rsid w:val="002479F8"/>
    <w:rsid w:val="002715B2"/>
    <w:rsid w:val="0029031C"/>
    <w:rsid w:val="00295057"/>
    <w:rsid w:val="003124D1"/>
    <w:rsid w:val="00333115"/>
    <w:rsid w:val="003B2F6B"/>
    <w:rsid w:val="003B4105"/>
    <w:rsid w:val="003D3D26"/>
    <w:rsid w:val="003F1776"/>
    <w:rsid w:val="004D086F"/>
    <w:rsid w:val="00541AF8"/>
    <w:rsid w:val="005F5234"/>
    <w:rsid w:val="005F6527"/>
    <w:rsid w:val="006705EC"/>
    <w:rsid w:val="00684360"/>
    <w:rsid w:val="006E16E9"/>
    <w:rsid w:val="007A5F6C"/>
    <w:rsid w:val="007B119A"/>
    <w:rsid w:val="007B79EA"/>
    <w:rsid w:val="00807385"/>
    <w:rsid w:val="00845686"/>
    <w:rsid w:val="00897715"/>
    <w:rsid w:val="008B150B"/>
    <w:rsid w:val="00944932"/>
    <w:rsid w:val="00945CED"/>
    <w:rsid w:val="009D0243"/>
    <w:rsid w:val="009E5FDB"/>
    <w:rsid w:val="00A06425"/>
    <w:rsid w:val="00A82820"/>
    <w:rsid w:val="00A8590F"/>
    <w:rsid w:val="00A96A95"/>
    <w:rsid w:val="00AA15F9"/>
    <w:rsid w:val="00AC7796"/>
    <w:rsid w:val="00AF5558"/>
    <w:rsid w:val="00B871B6"/>
    <w:rsid w:val="00BD77CC"/>
    <w:rsid w:val="00C64B1B"/>
    <w:rsid w:val="00CD5EB0"/>
    <w:rsid w:val="00CD66DD"/>
    <w:rsid w:val="00D36466"/>
    <w:rsid w:val="00D81351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ED79BA"/>
    <w:rsid w:val="00F062C3"/>
    <w:rsid w:val="00F54074"/>
    <w:rsid w:val="00F55442"/>
    <w:rsid w:val="00FA353D"/>
    <w:rsid w:val="00FA64B4"/>
    <w:rsid w:val="00FB25CD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2020-07-29T11:55:00Z</dcterms:created>
  <dcterms:modified xsi:type="dcterms:W3CDTF">2020-07-29T11:55:00Z</dcterms:modified>
</cp:coreProperties>
</file>